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77" w:rsidRDefault="008F6F77" w:rsidP="008F6F77">
      <w:pPr>
        <w:ind w:left="10915" w:right="-456"/>
        <w:jc w:val="both"/>
        <w:rPr>
          <w:bCs/>
        </w:rPr>
      </w:pPr>
      <w:r>
        <w:rPr>
          <w:bCs/>
        </w:rPr>
        <w:t>PATVIRTINTA</w:t>
      </w:r>
    </w:p>
    <w:p w:rsidR="008F6F77" w:rsidRDefault="008F6F77" w:rsidP="008F6F77">
      <w:pPr>
        <w:ind w:left="10915" w:right="-456"/>
        <w:jc w:val="both"/>
        <w:rPr>
          <w:bCs/>
        </w:rPr>
      </w:pPr>
      <w:r>
        <w:rPr>
          <w:bCs/>
        </w:rPr>
        <w:t>Salos etnokultūros ir informacijos centro</w:t>
      </w:r>
    </w:p>
    <w:p w:rsidR="008F6F77" w:rsidRDefault="008F6F77" w:rsidP="008F6F77">
      <w:pPr>
        <w:ind w:left="10915" w:right="-456"/>
        <w:jc w:val="both"/>
        <w:rPr>
          <w:bCs/>
        </w:rPr>
      </w:pPr>
      <w:r>
        <w:rPr>
          <w:bCs/>
        </w:rPr>
        <w:t xml:space="preserve">Direktorės </w:t>
      </w:r>
    </w:p>
    <w:p w:rsidR="008F6F77" w:rsidRDefault="008F6F77" w:rsidP="008F6F77">
      <w:pPr>
        <w:ind w:left="10915" w:right="-456"/>
        <w:jc w:val="both"/>
        <w:rPr>
          <w:bCs/>
        </w:rPr>
      </w:pPr>
      <w:r>
        <w:rPr>
          <w:bCs/>
        </w:rPr>
        <w:t>2020 m. sausio  16  d.</w:t>
      </w:r>
    </w:p>
    <w:p w:rsidR="008F6F77" w:rsidRDefault="008F6F77" w:rsidP="008F6F77">
      <w:pPr>
        <w:ind w:left="10915" w:right="-456"/>
        <w:jc w:val="both"/>
        <w:rPr>
          <w:bCs/>
        </w:rPr>
      </w:pPr>
      <w:r>
        <w:rPr>
          <w:bCs/>
        </w:rPr>
        <w:t>Įsakymo Nr. V4-04/5</w:t>
      </w:r>
    </w:p>
    <w:p w:rsidR="008F6F77" w:rsidRDefault="008F6F77" w:rsidP="008F6F77">
      <w:pPr>
        <w:ind w:left="2127"/>
        <w:jc w:val="right"/>
        <w:rPr>
          <w:b/>
          <w:bCs/>
        </w:rPr>
      </w:pPr>
    </w:p>
    <w:p w:rsidR="008F6F77" w:rsidRDefault="008F6F77" w:rsidP="008F6F77">
      <w:pPr>
        <w:jc w:val="center"/>
        <w:rPr>
          <w:b/>
        </w:rPr>
      </w:pPr>
      <w:r>
        <w:rPr>
          <w:b/>
        </w:rPr>
        <w:t xml:space="preserve">SALOS ETNOKULTŪROS IR INFORMACJOS CENTRAS  </w:t>
      </w:r>
    </w:p>
    <w:p w:rsidR="008F6F77" w:rsidRDefault="008F6F77" w:rsidP="008F6F77">
      <w:pPr>
        <w:jc w:val="center"/>
        <w:rPr>
          <w:b/>
        </w:rPr>
      </w:pPr>
      <w:r>
        <w:rPr>
          <w:b/>
        </w:rPr>
        <w:t xml:space="preserve">2020 M.  </w:t>
      </w:r>
      <w:r>
        <w:rPr>
          <w:b/>
          <w:bCs/>
        </w:rPr>
        <w:t xml:space="preserve">ETNINĖS KULTŪROS SAUGOS IR PRITAIKYMO TURIZMUI  </w:t>
      </w:r>
      <w:r>
        <w:rPr>
          <w:b/>
        </w:rPr>
        <w:t xml:space="preserve"> ĮGYVENDINIMO PRIEMONĖS</w:t>
      </w:r>
    </w:p>
    <w:p w:rsidR="008F6F77" w:rsidRDefault="008F6F77" w:rsidP="008F6F77">
      <w:pPr>
        <w:jc w:val="center"/>
        <w:rPr>
          <w:b/>
        </w:rPr>
      </w:pPr>
    </w:p>
    <w:p w:rsidR="008F6F77" w:rsidRDefault="008F6F77" w:rsidP="008F6F77">
      <w:pPr>
        <w:jc w:val="center"/>
        <w:rPr>
          <w:b/>
        </w:rPr>
      </w:pPr>
    </w:p>
    <w:p w:rsidR="008F6F77" w:rsidRDefault="008F6F77" w:rsidP="008F6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1559"/>
        <w:gridCol w:w="1843"/>
        <w:gridCol w:w="3260"/>
        <w:gridCol w:w="2551"/>
        <w:gridCol w:w="2155"/>
        <w:gridCol w:w="472"/>
        <w:gridCol w:w="472"/>
        <w:gridCol w:w="472"/>
        <w:gridCol w:w="472"/>
        <w:gridCol w:w="472"/>
        <w:gridCol w:w="472"/>
      </w:tblGrid>
      <w:tr w:rsidR="008F6F77" w:rsidRPr="00227FB2" w:rsidTr="00EE61DF">
        <w:trPr>
          <w:cantSplit/>
          <w:trHeight w:val="1134"/>
          <w:tblHeader/>
        </w:trPr>
        <w:tc>
          <w:tcPr>
            <w:tcW w:w="482" w:type="dxa"/>
            <w:shd w:val="clear" w:color="auto" w:fill="FFFFFF"/>
            <w:vAlign w:val="center"/>
          </w:tcPr>
          <w:p w:rsidR="008F6F77" w:rsidRPr="008F6F77" w:rsidRDefault="008F6F77" w:rsidP="00EE61DF">
            <w:pPr>
              <w:snapToGrid w:val="0"/>
              <w:jc w:val="center"/>
              <w:rPr>
                <w:b/>
              </w:rPr>
            </w:pPr>
            <w:r w:rsidRPr="008F6F77">
              <w:rPr>
                <w:b/>
              </w:rPr>
              <w:t>Eil.Nr.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6F77" w:rsidRPr="008F6F77" w:rsidRDefault="008F6F77" w:rsidP="00EE61DF">
            <w:pPr>
              <w:snapToGrid w:val="0"/>
              <w:jc w:val="center"/>
              <w:rPr>
                <w:b/>
              </w:rPr>
            </w:pPr>
            <w:r w:rsidRPr="008F6F77">
              <w:rPr>
                <w:b/>
              </w:rPr>
              <w:t>Uždaviniai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6F77" w:rsidRPr="008F6F77" w:rsidRDefault="008F6F77" w:rsidP="00EE61DF">
            <w:pPr>
              <w:snapToGrid w:val="0"/>
              <w:jc w:val="center"/>
              <w:rPr>
                <w:b/>
              </w:rPr>
            </w:pPr>
            <w:r w:rsidRPr="008F6F77">
              <w:rPr>
                <w:b/>
              </w:rPr>
              <w:t>Priemonės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F6F77" w:rsidRPr="008F6F77" w:rsidRDefault="008F6F77" w:rsidP="00EE61DF">
            <w:pPr>
              <w:pStyle w:val="Antrats"/>
              <w:tabs>
                <w:tab w:val="left" w:pos="1296"/>
              </w:tabs>
              <w:snapToGrid w:val="0"/>
              <w:jc w:val="center"/>
              <w:rPr>
                <w:b/>
                <w:sz w:val="22"/>
                <w:lang w:val="lt-LT" w:eastAsia="en-US"/>
              </w:rPr>
            </w:pPr>
            <w:r w:rsidRPr="008F6F77">
              <w:rPr>
                <w:b/>
                <w:sz w:val="22"/>
                <w:lang w:val="lt-LT" w:eastAsia="en-US"/>
              </w:rPr>
              <w:t>Veiksmas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F6F77" w:rsidRPr="008F6F77" w:rsidRDefault="008F6F77" w:rsidP="00EE61DF">
            <w:pPr>
              <w:pStyle w:val="Antrats"/>
              <w:tabs>
                <w:tab w:val="left" w:pos="1296"/>
              </w:tabs>
              <w:snapToGrid w:val="0"/>
              <w:jc w:val="center"/>
              <w:rPr>
                <w:b/>
                <w:sz w:val="22"/>
                <w:lang w:val="lt-LT" w:eastAsia="en-US"/>
              </w:rPr>
            </w:pPr>
            <w:r w:rsidRPr="008F6F77">
              <w:rPr>
                <w:b/>
                <w:sz w:val="22"/>
                <w:lang w:val="lt-LT" w:eastAsia="en-US"/>
              </w:rPr>
              <w:t>Atsakingas vykdytojas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8F6F77" w:rsidRPr="008F6F77" w:rsidRDefault="008F6F77" w:rsidP="00EE61DF">
            <w:pPr>
              <w:snapToGrid w:val="0"/>
              <w:jc w:val="center"/>
              <w:rPr>
                <w:b/>
              </w:rPr>
            </w:pPr>
            <w:r w:rsidRPr="008F6F77">
              <w:rPr>
                <w:b/>
              </w:rPr>
              <w:t>Rezultato kriterijus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8F6F77" w:rsidRPr="00227FB2" w:rsidRDefault="008F6F77" w:rsidP="00EE61DF">
            <w:pPr>
              <w:snapToGrid w:val="0"/>
              <w:ind w:left="113" w:right="113"/>
              <w:jc w:val="center"/>
            </w:pPr>
            <w:r w:rsidRPr="00227FB2">
              <w:t>2015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8F6F77" w:rsidRPr="00227FB2" w:rsidRDefault="008F6F77" w:rsidP="00EE61DF">
            <w:pPr>
              <w:snapToGrid w:val="0"/>
              <w:ind w:left="113" w:right="113"/>
              <w:jc w:val="center"/>
            </w:pPr>
            <w:r w:rsidRPr="00227FB2">
              <w:t>2016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8F6F77" w:rsidRPr="00227FB2" w:rsidRDefault="008F6F77" w:rsidP="00EE61DF">
            <w:pPr>
              <w:snapToGrid w:val="0"/>
              <w:ind w:left="113" w:right="113"/>
              <w:jc w:val="center"/>
            </w:pPr>
            <w:r w:rsidRPr="00227FB2">
              <w:t>2017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8F6F77" w:rsidRPr="00227FB2" w:rsidRDefault="008F6F77" w:rsidP="00EE61DF">
            <w:pPr>
              <w:snapToGrid w:val="0"/>
              <w:ind w:left="113" w:right="113"/>
              <w:jc w:val="center"/>
            </w:pPr>
            <w:r w:rsidRPr="00227FB2">
              <w:t>2018 m.</w:t>
            </w:r>
          </w:p>
        </w:tc>
        <w:tc>
          <w:tcPr>
            <w:tcW w:w="472" w:type="dxa"/>
            <w:shd w:val="clear" w:color="auto" w:fill="FFFFFF"/>
            <w:textDirection w:val="btLr"/>
          </w:tcPr>
          <w:p w:rsidR="008F6F77" w:rsidRPr="00227FB2" w:rsidRDefault="008F6F77" w:rsidP="00EE61DF">
            <w:pPr>
              <w:snapToGrid w:val="0"/>
              <w:ind w:left="113" w:right="113"/>
              <w:jc w:val="center"/>
            </w:pPr>
            <w:r w:rsidRPr="00227FB2">
              <w:t>2019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8F6F77" w:rsidRPr="00CC6041" w:rsidRDefault="008F6F77" w:rsidP="00EE61DF">
            <w:pPr>
              <w:snapToGrid w:val="0"/>
              <w:ind w:left="113" w:right="113"/>
              <w:jc w:val="center"/>
              <w:rPr>
                <w:b/>
              </w:rPr>
            </w:pPr>
            <w:r w:rsidRPr="00CC6041">
              <w:rPr>
                <w:b/>
              </w:rPr>
              <w:t>2020 m.</w:t>
            </w: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</w:pPr>
            <w:r w:rsidRPr="00227FB2">
              <w:t>Puoselėti  Mažosios Lietuvos regioninį ir lokalinį savitumą, tradicijų autentiškumą ir prieinamumą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1.1. vykdyti  etnografines ir kraštotyrines  ekspedicijas Pamario kraštui tyrinėti</w:t>
            </w: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41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1.1.2. Pamario gyventojų buitis ir žvejybos tradicijos.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Ekspedicijų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</w:t>
            </w: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Surinktos medžiagos aprašų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</w:t>
            </w: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Nuotraukų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15</w:t>
            </w: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Filmuotos medžiagos įrašų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141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41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9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1.2. surinkti duomenis apie specifines Pamario krašto vertybes</w:t>
            </w: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4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1.2.2. išleisti leidinius apie Pamario krašto etnokultūros vertybes (žemėlapį ar kt.), kuriančius žmones (tautodailininkus, tautinio paveldo produktų kūrėjus, kūrėjo statusą turinčius kūrėjus.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Default="008F6F77" w:rsidP="00EE61DF">
            <w:pPr>
              <w:snapToGrid w:val="0"/>
            </w:pPr>
          </w:p>
          <w:p w:rsidR="008F6F77" w:rsidRDefault="008F6F77" w:rsidP="00EE61DF">
            <w:pPr>
              <w:snapToGrid w:val="0"/>
            </w:pPr>
          </w:p>
          <w:p w:rsidR="008F6F77" w:rsidRPr="00227FB2" w:rsidRDefault="008F6F77" w:rsidP="00EE61DF">
            <w:pPr>
              <w:snapToGrid w:val="0"/>
            </w:pPr>
            <w:r>
              <w:t>P</w:t>
            </w:r>
            <w:r w:rsidRPr="00227FB2">
              <w:t>ateiktų projektinių paraiškų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4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</w:t>
            </w:r>
          </w:p>
        </w:tc>
      </w:tr>
      <w:tr w:rsidR="008F6F77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1.3. skatinti Mažosios Lietuvos regiono folkloro kolektyvų veiklą</w:t>
            </w: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8F6F77" w:rsidRPr="00227FB2" w:rsidRDefault="008F6F77" w:rsidP="00EE61DF">
            <w:pPr>
              <w:pStyle w:val="Porat"/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1.3.1. parengti tikslines koncertines programas, kuriomis galėtų pasinaudoti turizmo paslaugų teikėjai.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Parengtų tikslinių programų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</w:t>
            </w: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Pasinaudojusių jomis skaičius</w:t>
            </w:r>
            <w:r>
              <w:t xml:space="preserve"> (sutarčių skaičius)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>
              <w:t>4</w:t>
            </w:r>
          </w:p>
        </w:tc>
      </w:tr>
      <w:tr w:rsidR="008F6F77" w:rsidRPr="00227FB2" w:rsidTr="00EE61DF">
        <w:trPr>
          <w:trHeight w:val="22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2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2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8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8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8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53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5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4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579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55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55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kern w:val="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4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kern w:val="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4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kern w:val="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69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9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64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2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2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2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4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90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 xml:space="preserve">3.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</w:pPr>
            <w:r w:rsidRPr="00227FB2">
              <w:t>Sukurti nematerialaus kultūros paveldo vertybių perimamumo ir sklaidos sąlygas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3.1. Edukacinių programų sklaida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 xml:space="preserve">3.1.1. siūlyti Šilutės </w:t>
            </w:r>
            <w:proofErr w:type="spellStart"/>
            <w:r w:rsidRPr="00227FB2">
              <w:t>TIC‘ui</w:t>
            </w:r>
            <w:proofErr w:type="spellEnd"/>
            <w:r w:rsidRPr="00227FB2">
              <w:t>, turizmo paslaugų teikėjams įtraukti parengtas edukacines programas į turistinius maršrutus.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 xml:space="preserve">Į turistinius maršrutus naujai įtrauktų edukacinių programų skaičius 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</w:t>
            </w: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3.1.2. į edukacines programas įtraukti kuo daugiau tautodailininkų, amatininkų, liaudies meistrų, tautosakos ir kitų tradicinės kultūros žanrų pateikėjų.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Į edukacines programas įtrauktų tautodailininkų ir kt.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2</w:t>
            </w:r>
          </w:p>
        </w:tc>
      </w:tr>
      <w:tr w:rsidR="008F6F77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strike/>
              </w:rPr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strike/>
              </w:rPr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strike/>
              </w:rPr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91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3.3. organizuoti kalendorines šventes</w:t>
            </w: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strike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751691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751691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751691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751691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751691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751691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21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3.3.2. Advento vakarai</w:t>
            </w:r>
          </w:p>
        </w:tc>
        <w:tc>
          <w:tcPr>
            <w:tcW w:w="2551" w:type="dxa"/>
            <w:shd w:val="clear" w:color="auto" w:fill="FFFFFF"/>
          </w:tcPr>
          <w:p w:rsidR="008F6F77" w:rsidRPr="00CC6041" w:rsidRDefault="008F6F77" w:rsidP="00EE61DF">
            <w:pPr>
              <w:snapToGrid w:val="0"/>
            </w:pPr>
            <w:r w:rsidRPr="00CC6041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>
              <w:t>V</w:t>
            </w:r>
            <w:r w:rsidRPr="00227FB2">
              <w:t>aikų ir jaunimo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45</w:t>
            </w: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8F6F77" w:rsidRPr="00227FB2" w:rsidTr="00EE61DF">
        <w:trPr>
          <w:trHeight w:val="56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56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4E3D69" w:rsidRDefault="008F6F77" w:rsidP="00EE61DF">
            <w:pPr>
              <w:snapToGrid w:val="0"/>
              <w:rPr>
                <w:color w:val="FF0000"/>
              </w:rPr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9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8F6F77" w:rsidRPr="00227FB2" w:rsidTr="00EE61DF">
        <w:trPr>
          <w:trHeight w:val="323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 xml:space="preserve">3.3.5. Mažųjų </w:t>
            </w:r>
            <w:proofErr w:type="spellStart"/>
            <w:r>
              <w:t>V</w:t>
            </w:r>
            <w:r w:rsidRPr="00227FB2">
              <w:t>elykėlių</w:t>
            </w:r>
            <w:proofErr w:type="spellEnd"/>
            <w:r w:rsidRPr="00227FB2">
              <w:t xml:space="preserve"> šventė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F6F77" w:rsidRPr="00CC6041" w:rsidRDefault="008F6F77" w:rsidP="00EE61DF">
            <w:r w:rsidRPr="00CC6041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>
              <w:t>Vaikų ir jaunimo</w:t>
            </w:r>
            <w:r w:rsidRPr="00227FB2">
              <w:t xml:space="preserve">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  <w:vAlign w:val="center"/>
          </w:tcPr>
          <w:p w:rsidR="008F6F77" w:rsidRPr="004E3D69" w:rsidRDefault="008F6F77" w:rsidP="00EE61DF">
            <w:pPr>
              <w:rPr>
                <w:color w:val="FF0000"/>
              </w:rPr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3.3.6. Parengti informaciją apie šias šventes ir ją skelbti įstaigų internet</w:t>
            </w:r>
            <w:r>
              <w:t>o</w:t>
            </w:r>
            <w:r w:rsidRPr="00227FB2">
              <w:t xml:space="preserve"> svetainėse, išsiųsti Šilutės </w:t>
            </w:r>
            <w:proofErr w:type="spellStart"/>
            <w:r w:rsidRPr="00227FB2">
              <w:t>TIC‘ui</w:t>
            </w:r>
            <w:proofErr w:type="spellEnd"/>
            <w:r w:rsidRPr="00227FB2">
              <w:t>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2</w:t>
            </w:r>
          </w:p>
        </w:tc>
      </w:tr>
      <w:tr w:rsidR="008F6F77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8F6F77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66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3.4. Nematerialaus kultūros paveldo sklaida</w:t>
            </w:r>
          </w:p>
        </w:tc>
        <w:tc>
          <w:tcPr>
            <w:tcW w:w="3260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 xml:space="preserve">3.4.3. rengti fotografijų, senųjų leidinių, liaudies meistrų darbų ir kitų etninės kultūros vertybių parodas (ir virtualias), pristatymus, informaciją pateikti </w:t>
            </w:r>
            <w:proofErr w:type="spellStart"/>
            <w:r w:rsidRPr="00227FB2">
              <w:t>TIC‘ui</w:t>
            </w:r>
            <w:proofErr w:type="spellEnd"/>
            <w:r w:rsidRPr="00227FB2">
              <w:t>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Parodų ir pristatymų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2</w:t>
            </w:r>
          </w:p>
        </w:tc>
      </w:tr>
      <w:tr w:rsidR="008F6F77" w:rsidRPr="00227FB2" w:rsidTr="00EE61DF">
        <w:trPr>
          <w:trHeight w:val="399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8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3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41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555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4.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</w:pPr>
            <w:r w:rsidRPr="00227FB2">
              <w:t>Užtikrinti sukauptų vertybių ilgalaikį išsaugojimą ir panaudojimą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4.1. Etninės kultūros projektai.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4.1.1. rengti projektus etninės kultūros paveldo puoselėjimui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Parengtų paraiškų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</w:t>
            </w: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6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 xml:space="preserve">4.2. Ilgalaikis nematerialaus kultūros paveldo išsaugojimas. 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4.2.1. sudaryti sąlygas etninės medžiagos prieinamumui visuomenės poreikiams ir populiarinti surinktą etninę medžiagą.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Pasinaudojusiųjų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12</w:t>
            </w: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 xml:space="preserve">4.2.2. </w:t>
            </w:r>
            <w:r w:rsidRPr="00227FB2">
              <w:rPr>
                <w:lang w:val="pt-BR"/>
              </w:rPr>
              <w:t>pildyti lokalinį Nematerialaus kultūros paveldo vertybių registrą ir rengti Nematerialaus kultūros paveldo vertybių informacinės sistemos bylas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Parengtų bylų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1</w:t>
            </w: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4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4.2.</w:t>
            </w:r>
            <w:r>
              <w:t>4</w:t>
            </w:r>
            <w:r w:rsidRPr="00227FB2">
              <w:t xml:space="preserve">. sudaryti etninės kultūros vertybių sąvadą pagal atskiras </w:t>
            </w:r>
            <w:r w:rsidRPr="00227FB2">
              <w:lastRenderedPageBreak/>
              <w:t>sritis.</w:t>
            </w: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lastRenderedPageBreak/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  <w:r w:rsidRPr="00227FB2">
              <w:t>Į sąvadą įtrauktų objektų skaičius</w:t>
            </w: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</w:t>
            </w:r>
          </w:p>
        </w:tc>
      </w:tr>
      <w:tr w:rsidR="008F6F77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690"/>
        </w:trPr>
        <w:tc>
          <w:tcPr>
            <w:tcW w:w="482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  <w:spacing w:line="100" w:lineRule="atLeast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  <w:rPr>
                <w:color w:val="000000"/>
              </w:rPr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cantSplit/>
          <w:trHeight w:val="2670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 w:val="restart"/>
            <w:shd w:val="clear" w:color="auto" w:fill="FFFFFF"/>
          </w:tcPr>
          <w:p w:rsidR="008F6F77" w:rsidRPr="00227FB2" w:rsidRDefault="008F6F77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  <w:tr w:rsidR="008F6F77" w:rsidRPr="00227FB2" w:rsidTr="00EE61DF">
        <w:trPr>
          <w:cantSplit/>
          <w:trHeight w:val="2537"/>
        </w:trPr>
        <w:tc>
          <w:tcPr>
            <w:tcW w:w="482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8F6F77" w:rsidRPr="00227FB2" w:rsidRDefault="008F6F77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8F6F77" w:rsidRPr="00227FB2" w:rsidRDefault="008F6F77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8F6F77" w:rsidRPr="00227FB2" w:rsidRDefault="008F6F77" w:rsidP="00EE61DF">
            <w:pPr>
              <w:snapToGrid w:val="0"/>
            </w:pPr>
          </w:p>
        </w:tc>
      </w:tr>
    </w:tbl>
    <w:p w:rsidR="008F6F77" w:rsidRDefault="008F6F77" w:rsidP="008F6F77"/>
    <w:p w:rsidR="008F6F77" w:rsidRDefault="008F6F77" w:rsidP="008F6F77"/>
    <w:p w:rsidR="008F6F77" w:rsidRDefault="008F6F77" w:rsidP="008F6F77">
      <w:r>
        <w:t xml:space="preserve">Parengė                               </w:t>
      </w:r>
    </w:p>
    <w:p w:rsidR="008F6F77" w:rsidRDefault="008F6F77" w:rsidP="008F6F77">
      <w:r>
        <w:t>Etnografė                                                                                                                                                                                 Dalia Kubilienė</w:t>
      </w:r>
    </w:p>
    <w:p w:rsidR="008F6F77" w:rsidRDefault="008F6F77" w:rsidP="008F6F77"/>
    <w:p w:rsidR="008F6F77" w:rsidRDefault="008F6F77" w:rsidP="008F6F77"/>
    <w:p w:rsidR="008F6F77" w:rsidRDefault="008F6F77" w:rsidP="008F6F77"/>
    <w:p w:rsidR="008F6F77" w:rsidRDefault="008F6F77" w:rsidP="008F6F77"/>
    <w:p w:rsidR="008F6F77" w:rsidRDefault="008F6F77" w:rsidP="008F6F77">
      <w:pPr>
        <w:jc w:val="center"/>
      </w:pPr>
    </w:p>
    <w:p w:rsidR="008F6F77" w:rsidRDefault="008F6F77" w:rsidP="008F6F77">
      <w:pPr>
        <w:jc w:val="center"/>
      </w:pPr>
    </w:p>
    <w:p w:rsidR="008F6F77" w:rsidRDefault="008F6F77" w:rsidP="008F6F77">
      <w:pPr>
        <w:jc w:val="center"/>
      </w:pPr>
      <w:r>
        <w:t>_____________________________________________________</w:t>
      </w:r>
    </w:p>
    <w:p w:rsidR="008F6F77" w:rsidRDefault="008F6F77" w:rsidP="008F6F77"/>
    <w:p w:rsidR="008F6F77" w:rsidRDefault="008F6F77" w:rsidP="008F6F77">
      <w:pPr>
        <w:ind w:right="181"/>
      </w:pPr>
    </w:p>
    <w:p w:rsidR="00FF1E89" w:rsidRDefault="00FF1E89"/>
    <w:sectPr w:rsidR="00FF1E89" w:rsidSect="00C55A39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9E2"/>
    <w:multiLevelType w:val="hybridMultilevel"/>
    <w:tmpl w:val="352062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8F6F77"/>
    <w:rsid w:val="003B5312"/>
    <w:rsid w:val="003F3A75"/>
    <w:rsid w:val="008F6F77"/>
    <w:rsid w:val="00D52E7F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6F77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outlineLvl w:val="0"/>
    </w:pPr>
    <w:rPr>
      <w:b/>
      <w:bCs/>
      <w:kern w:val="36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8F6F77"/>
    <w:pPr>
      <w:keepNext/>
      <w:outlineLvl w:val="1"/>
    </w:pPr>
    <w:rPr>
      <w:rFonts w:eastAsia="Arial Unicode MS"/>
      <w:szCs w:val="20"/>
      <w:lang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outlineLvl w:val="2"/>
    </w:pPr>
    <w:rPr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8F6F77"/>
    <w:pPr>
      <w:keepNext/>
      <w:jc w:val="center"/>
      <w:outlineLvl w:val="3"/>
    </w:pPr>
    <w:rPr>
      <w:rFonts w:eastAsia="Arial Unicode MS"/>
      <w:b/>
      <w:szCs w:val="20"/>
      <w:lang/>
    </w:rPr>
  </w:style>
  <w:style w:type="paragraph" w:styleId="Antrat5">
    <w:name w:val="heading 5"/>
    <w:basedOn w:val="prastasis"/>
    <w:next w:val="prastasis"/>
    <w:link w:val="Antrat5Diagrama"/>
    <w:qFormat/>
    <w:rsid w:val="008F6F77"/>
    <w:pPr>
      <w:keepNext/>
      <w:spacing w:line="480" w:lineRule="auto"/>
      <w:jc w:val="center"/>
      <w:outlineLvl w:val="4"/>
    </w:pPr>
    <w:rPr>
      <w:rFonts w:eastAsia="Arial Unicode MS"/>
      <w:szCs w:val="20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jc w:val="center"/>
    </w:pPr>
    <w:rPr>
      <w:rFonts w:ascii="Calibri" w:hAnsi="Calibri"/>
      <w:b/>
      <w:bCs/>
      <w:caps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F6F77"/>
    <w:rPr>
      <w:rFonts w:ascii="Times New Roman" w:eastAsia="Arial Unicode MS" w:hAnsi="Times New Roman"/>
      <w:sz w:val="24"/>
      <w:lang/>
    </w:rPr>
  </w:style>
  <w:style w:type="character" w:customStyle="1" w:styleId="Antrat4Diagrama">
    <w:name w:val="Antraštė 4 Diagrama"/>
    <w:basedOn w:val="Numatytasispastraiposriftas"/>
    <w:link w:val="Antrat4"/>
    <w:rsid w:val="008F6F77"/>
    <w:rPr>
      <w:rFonts w:ascii="Times New Roman" w:eastAsia="Arial Unicode MS" w:hAnsi="Times New Roman"/>
      <w:b/>
      <w:sz w:val="24"/>
      <w:lang/>
    </w:rPr>
  </w:style>
  <w:style w:type="character" w:customStyle="1" w:styleId="Antrat5Diagrama">
    <w:name w:val="Antraštė 5 Diagrama"/>
    <w:basedOn w:val="Numatytasispastraiposriftas"/>
    <w:link w:val="Antrat5"/>
    <w:rsid w:val="008F6F77"/>
    <w:rPr>
      <w:rFonts w:ascii="Times New Roman" w:eastAsia="Arial Unicode MS" w:hAnsi="Times New Roman"/>
      <w:sz w:val="24"/>
      <w:lang/>
    </w:rPr>
  </w:style>
  <w:style w:type="paragraph" w:styleId="Antrats">
    <w:name w:val="header"/>
    <w:basedOn w:val="prastasis"/>
    <w:link w:val="AntratsDiagrama"/>
    <w:rsid w:val="008F6F77"/>
    <w:pPr>
      <w:widowControl w:val="0"/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ntratsDiagrama">
    <w:name w:val="Antraštės Diagrama"/>
    <w:basedOn w:val="Numatytasispastraiposriftas"/>
    <w:link w:val="Antrats"/>
    <w:rsid w:val="008F6F77"/>
    <w:rPr>
      <w:rFonts w:ascii="Times New Roman" w:eastAsia="Times New Roman" w:hAnsi="Times New Roman"/>
      <w:lang/>
    </w:rPr>
  </w:style>
  <w:style w:type="character" w:styleId="Hipersaitas">
    <w:name w:val="Hyperlink"/>
    <w:rsid w:val="008F6F77"/>
    <w:rPr>
      <w:rFonts w:ascii="Verdana" w:hAnsi="Verdana" w:hint="default"/>
      <w:i w:val="0"/>
      <w:iCs w:val="0"/>
      <w:strike w:val="0"/>
      <w:dstrike w:val="0"/>
      <w:color w:val="1E2A3A"/>
      <w:sz w:val="15"/>
      <w:szCs w:val="15"/>
      <w:u w:val="none"/>
      <w:effect w:val="none"/>
    </w:rPr>
  </w:style>
  <w:style w:type="paragraph" w:styleId="Debesliotekstas">
    <w:name w:val="Balloon Text"/>
    <w:basedOn w:val="prastasis"/>
    <w:link w:val="DebesliotekstasDiagrama"/>
    <w:unhideWhenUsed/>
    <w:rsid w:val="008F6F77"/>
    <w:rPr>
      <w:rFonts w:ascii="Segoe UI" w:hAnsi="Segoe UI"/>
      <w:sz w:val="18"/>
      <w:szCs w:val="18"/>
      <w:lang/>
    </w:rPr>
  </w:style>
  <w:style w:type="character" w:customStyle="1" w:styleId="DebesliotekstasDiagrama">
    <w:name w:val="Debesėlio tekstas Diagrama"/>
    <w:basedOn w:val="Numatytasispastraiposriftas"/>
    <w:link w:val="Debesliotekstas"/>
    <w:rsid w:val="008F6F77"/>
    <w:rPr>
      <w:rFonts w:ascii="Segoe UI" w:eastAsia="Times New Roman" w:hAnsi="Segoe UI"/>
      <w:sz w:val="18"/>
      <w:szCs w:val="18"/>
      <w:lang/>
    </w:rPr>
  </w:style>
  <w:style w:type="paragraph" w:customStyle="1" w:styleId="bodytext">
    <w:name w:val="bodytext"/>
    <w:basedOn w:val="prastasis"/>
    <w:rsid w:val="008F6F77"/>
    <w:pPr>
      <w:snapToGrid w:val="0"/>
      <w:ind w:firstLine="312"/>
      <w:jc w:val="both"/>
    </w:pPr>
    <w:rPr>
      <w:sz w:val="20"/>
      <w:szCs w:val="20"/>
      <w:lang w:val="en-GB"/>
    </w:rPr>
  </w:style>
  <w:style w:type="character" w:customStyle="1" w:styleId="Absatz-Standardschriftart">
    <w:name w:val="Absatz-Standardschriftart"/>
    <w:rsid w:val="008F6F77"/>
  </w:style>
  <w:style w:type="character" w:customStyle="1" w:styleId="WW-Absatz-Standardschriftart">
    <w:name w:val="WW-Absatz-Standardschriftart"/>
    <w:rsid w:val="008F6F77"/>
  </w:style>
  <w:style w:type="character" w:customStyle="1" w:styleId="WW-Absatz-Standardschriftart1">
    <w:name w:val="WW-Absatz-Standardschriftart1"/>
    <w:rsid w:val="008F6F77"/>
  </w:style>
  <w:style w:type="character" w:customStyle="1" w:styleId="WW-Absatz-Standardschriftart11">
    <w:name w:val="WW-Absatz-Standardschriftart11"/>
    <w:rsid w:val="008F6F77"/>
  </w:style>
  <w:style w:type="character" w:customStyle="1" w:styleId="WW-Absatz-Standardschriftart111">
    <w:name w:val="WW-Absatz-Standardschriftart111"/>
    <w:rsid w:val="008F6F77"/>
  </w:style>
  <w:style w:type="character" w:customStyle="1" w:styleId="WW-Absatz-Standardschriftart1111">
    <w:name w:val="WW-Absatz-Standardschriftart1111"/>
    <w:rsid w:val="008F6F77"/>
  </w:style>
  <w:style w:type="character" w:customStyle="1" w:styleId="WW-Absatz-Standardschriftart11111">
    <w:name w:val="WW-Absatz-Standardschriftart11111"/>
    <w:rsid w:val="008F6F77"/>
  </w:style>
  <w:style w:type="character" w:customStyle="1" w:styleId="Numatytasispastraiposriftas11">
    <w:name w:val="Numatytasis pastraipos šriftas11"/>
    <w:rsid w:val="008F6F77"/>
  </w:style>
  <w:style w:type="character" w:customStyle="1" w:styleId="WW-Absatz-Standardschriftart111111">
    <w:name w:val="WW-Absatz-Standardschriftart111111"/>
    <w:rsid w:val="008F6F77"/>
  </w:style>
  <w:style w:type="character" w:customStyle="1" w:styleId="WW-Absatz-Standardschriftart1111111">
    <w:name w:val="WW-Absatz-Standardschriftart1111111"/>
    <w:rsid w:val="008F6F77"/>
  </w:style>
  <w:style w:type="character" w:customStyle="1" w:styleId="WW-Absatz-Standardschriftart11111111">
    <w:name w:val="WW-Absatz-Standardschriftart11111111"/>
    <w:rsid w:val="008F6F77"/>
  </w:style>
  <w:style w:type="character" w:customStyle="1" w:styleId="WW-Absatz-Standardschriftart111111111">
    <w:name w:val="WW-Absatz-Standardschriftart111111111"/>
    <w:rsid w:val="008F6F77"/>
  </w:style>
  <w:style w:type="character" w:customStyle="1" w:styleId="WW-Absatz-Standardschriftart1111111111">
    <w:name w:val="WW-Absatz-Standardschriftart1111111111"/>
    <w:rsid w:val="008F6F77"/>
  </w:style>
  <w:style w:type="character" w:customStyle="1" w:styleId="WW-Absatz-Standardschriftart11111111111">
    <w:name w:val="WW-Absatz-Standardschriftart11111111111"/>
    <w:rsid w:val="008F6F77"/>
  </w:style>
  <w:style w:type="character" w:customStyle="1" w:styleId="WW-Absatz-Standardschriftart111111111111">
    <w:name w:val="WW-Absatz-Standardschriftart111111111111"/>
    <w:rsid w:val="008F6F77"/>
  </w:style>
  <w:style w:type="character" w:customStyle="1" w:styleId="WW-Absatz-Standardschriftart1111111111111">
    <w:name w:val="WW-Absatz-Standardschriftart1111111111111"/>
    <w:rsid w:val="008F6F77"/>
  </w:style>
  <w:style w:type="character" w:customStyle="1" w:styleId="WW-Absatz-Standardschriftart11111111111111">
    <w:name w:val="WW-Absatz-Standardschriftart11111111111111"/>
    <w:rsid w:val="008F6F77"/>
  </w:style>
  <w:style w:type="character" w:customStyle="1" w:styleId="WW-Absatz-Standardschriftart111111111111111">
    <w:name w:val="WW-Absatz-Standardschriftart111111111111111"/>
    <w:rsid w:val="008F6F77"/>
  </w:style>
  <w:style w:type="character" w:customStyle="1" w:styleId="WW-Absatz-Standardschriftart1111111111111111">
    <w:name w:val="WW-Absatz-Standardschriftart1111111111111111"/>
    <w:rsid w:val="008F6F77"/>
  </w:style>
  <w:style w:type="character" w:customStyle="1" w:styleId="WW-Absatz-Standardschriftart11111111111111111">
    <w:name w:val="WW-Absatz-Standardschriftart11111111111111111"/>
    <w:rsid w:val="008F6F77"/>
  </w:style>
  <w:style w:type="character" w:customStyle="1" w:styleId="WW-Absatz-Standardschriftart111111111111111111">
    <w:name w:val="WW-Absatz-Standardschriftart111111111111111111"/>
    <w:rsid w:val="008F6F77"/>
  </w:style>
  <w:style w:type="character" w:customStyle="1" w:styleId="WW-Absatz-Standardschriftart1111111111111111111">
    <w:name w:val="WW-Absatz-Standardschriftart1111111111111111111"/>
    <w:rsid w:val="008F6F77"/>
  </w:style>
  <w:style w:type="character" w:customStyle="1" w:styleId="WW-Absatz-Standardschriftart11111111111111111111">
    <w:name w:val="WW-Absatz-Standardschriftart11111111111111111111"/>
    <w:rsid w:val="008F6F77"/>
  </w:style>
  <w:style w:type="character" w:customStyle="1" w:styleId="WW-Absatz-Standardschriftart111111111111111111111">
    <w:name w:val="WW-Absatz-Standardschriftart111111111111111111111"/>
    <w:rsid w:val="008F6F77"/>
  </w:style>
  <w:style w:type="character" w:customStyle="1" w:styleId="WW-Absatz-Standardschriftart1111111111111111111111">
    <w:name w:val="WW-Absatz-Standardschriftart1111111111111111111111"/>
    <w:rsid w:val="008F6F77"/>
  </w:style>
  <w:style w:type="character" w:customStyle="1" w:styleId="WW-Absatz-Standardschriftart11111111111111111111111">
    <w:name w:val="WW-Absatz-Standardschriftart11111111111111111111111"/>
    <w:rsid w:val="008F6F77"/>
  </w:style>
  <w:style w:type="character" w:customStyle="1" w:styleId="WW-Absatz-Standardschriftart111111111111111111111111">
    <w:name w:val="WW-Absatz-Standardschriftart111111111111111111111111"/>
    <w:rsid w:val="008F6F77"/>
  </w:style>
  <w:style w:type="character" w:customStyle="1" w:styleId="WW-Absatz-Standardschriftart1111111111111111111111111">
    <w:name w:val="WW-Absatz-Standardschriftart1111111111111111111111111"/>
    <w:rsid w:val="008F6F77"/>
  </w:style>
  <w:style w:type="character" w:customStyle="1" w:styleId="WW-Absatz-Standardschriftart11111111111111111111111111">
    <w:name w:val="WW-Absatz-Standardschriftart11111111111111111111111111"/>
    <w:rsid w:val="008F6F77"/>
  </w:style>
  <w:style w:type="character" w:customStyle="1" w:styleId="WW-Absatz-Standardschriftart111111111111111111111111111">
    <w:name w:val="WW-Absatz-Standardschriftart111111111111111111111111111"/>
    <w:rsid w:val="008F6F77"/>
  </w:style>
  <w:style w:type="character" w:customStyle="1" w:styleId="WW-Absatz-Standardschriftart1111111111111111111111111111">
    <w:name w:val="WW-Absatz-Standardschriftart1111111111111111111111111111"/>
    <w:rsid w:val="008F6F77"/>
  </w:style>
  <w:style w:type="character" w:customStyle="1" w:styleId="WW-Absatz-Standardschriftart11111111111111111111111111111">
    <w:name w:val="WW-Absatz-Standardschriftart11111111111111111111111111111"/>
    <w:rsid w:val="008F6F77"/>
  </w:style>
  <w:style w:type="character" w:customStyle="1" w:styleId="WW-Absatz-Standardschriftart111111111111111111111111111111">
    <w:name w:val="WW-Absatz-Standardschriftart111111111111111111111111111111"/>
    <w:rsid w:val="008F6F77"/>
  </w:style>
  <w:style w:type="character" w:customStyle="1" w:styleId="WW-Absatz-Standardschriftart1111111111111111111111111111111">
    <w:name w:val="WW-Absatz-Standardschriftart1111111111111111111111111111111"/>
    <w:rsid w:val="008F6F77"/>
  </w:style>
  <w:style w:type="character" w:customStyle="1" w:styleId="WW-Absatz-Standardschriftart11111111111111111111111111111111">
    <w:name w:val="WW-Absatz-Standardschriftart11111111111111111111111111111111"/>
    <w:rsid w:val="008F6F77"/>
  </w:style>
  <w:style w:type="character" w:customStyle="1" w:styleId="Numatytasispastraiposriftas10">
    <w:name w:val="Numatytasis pastraipos šriftas10"/>
    <w:rsid w:val="008F6F77"/>
  </w:style>
  <w:style w:type="character" w:customStyle="1" w:styleId="WW-Absatz-Standardschriftart111111111111111111111111111111111">
    <w:name w:val="WW-Absatz-Standardschriftart111111111111111111111111111111111"/>
    <w:rsid w:val="008F6F77"/>
  </w:style>
  <w:style w:type="character" w:customStyle="1" w:styleId="WW-Absatz-Standardschriftart1111111111111111111111111111111111">
    <w:name w:val="WW-Absatz-Standardschriftart1111111111111111111111111111111111"/>
    <w:rsid w:val="008F6F77"/>
  </w:style>
  <w:style w:type="character" w:customStyle="1" w:styleId="WW-Absatz-Standardschriftart11111111111111111111111111111111111">
    <w:name w:val="WW-Absatz-Standardschriftart11111111111111111111111111111111111"/>
    <w:rsid w:val="008F6F77"/>
  </w:style>
  <w:style w:type="character" w:customStyle="1" w:styleId="WW-Absatz-Standardschriftart111111111111111111111111111111111111">
    <w:name w:val="WW-Absatz-Standardschriftart111111111111111111111111111111111111"/>
    <w:rsid w:val="008F6F77"/>
  </w:style>
  <w:style w:type="character" w:customStyle="1" w:styleId="WW-Absatz-Standardschriftart1111111111111111111111111111111111111">
    <w:name w:val="WW-Absatz-Standardschriftart1111111111111111111111111111111111111"/>
    <w:rsid w:val="008F6F77"/>
  </w:style>
  <w:style w:type="character" w:customStyle="1" w:styleId="Numatytasispastraiposriftas9">
    <w:name w:val="Numatytasis pastraipos šriftas9"/>
    <w:rsid w:val="008F6F77"/>
  </w:style>
  <w:style w:type="character" w:customStyle="1" w:styleId="WW-Absatz-Standardschriftart11111111111111111111111111111111111111">
    <w:name w:val="WW-Absatz-Standardschriftart11111111111111111111111111111111111111"/>
    <w:rsid w:val="008F6F77"/>
  </w:style>
  <w:style w:type="character" w:customStyle="1" w:styleId="WW-Absatz-Standardschriftart111111111111111111111111111111111111111">
    <w:name w:val="WW-Absatz-Standardschriftart111111111111111111111111111111111111111"/>
    <w:rsid w:val="008F6F77"/>
  </w:style>
  <w:style w:type="character" w:customStyle="1" w:styleId="WW-Absatz-Standardschriftart1111111111111111111111111111111111111111">
    <w:name w:val="WW-Absatz-Standardschriftart1111111111111111111111111111111111111111"/>
    <w:rsid w:val="008F6F77"/>
  </w:style>
  <w:style w:type="character" w:customStyle="1" w:styleId="WW-Absatz-Standardschriftart11111111111111111111111111111111111111111">
    <w:name w:val="WW-Absatz-Standardschriftart11111111111111111111111111111111111111111"/>
    <w:rsid w:val="008F6F77"/>
  </w:style>
  <w:style w:type="character" w:customStyle="1" w:styleId="WW-Absatz-Standardschriftart111111111111111111111111111111111111111111">
    <w:name w:val="WW-Absatz-Standardschriftart111111111111111111111111111111111111111111"/>
    <w:rsid w:val="008F6F77"/>
  </w:style>
  <w:style w:type="character" w:customStyle="1" w:styleId="WW-Absatz-Standardschriftart1111111111111111111111111111111111111111111">
    <w:name w:val="WW-Absatz-Standardschriftart1111111111111111111111111111111111111111111"/>
    <w:rsid w:val="008F6F77"/>
  </w:style>
  <w:style w:type="character" w:customStyle="1" w:styleId="WW-Absatz-Standardschriftart11111111111111111111111111111111111111111111">
    <w:name w:val="WW-Absatz-Standardschriftart11111111111111111111111111111111111111111111"/>
    <w:rsid w:val="008F6F77"/>
  </w:style>
  <w:style w:type="character" w:customStyle="1" w:styleId="WW-Absatz-Standardschriftart111111111111111111111111111111111111111111111">
    <w:name w:val="WW-Absatz-Standardschriftart111111111111111111111111111111111111111111111"/>
    <w:rsid w:val="008F6F77"/>
  </w:style>
  <w:style w:type="character" w:customStyle="1" w:styleId="WW-Absatz-Standardschriftart1111111111111111111111111111111111111111111111">
    <w:name w:val="WW-Absatz-Standardschriftart1111111111111111111111111111111111111111111111"/>
    <w:rsid w:val="008F6F77"/>
  </w:style>
  <w:style w:type="character" w:customStyle="1" w:styleId="WW-Absatz-Standardschriftart11111111111111111111111111111111111111111111111">
    <w:name w:val="WW-Absatz-Standardschriftart11111111111111111111111111111111111111111111111"/>
    <w:rsid w:val="008F6F77"/>
  </w:style>
  <w:style w:type="character" w:customStyle="1" w:styleId="Numatytasispastraiposriftas8">
    <w:name w:val="Numatytasis pastraipos šriftas8"/>
    <w:rsid w:val="008F6F77"/>
  </w:style>
  <w:style w:type="character" w:customStyle="1" w:styleId="Numatytasispastraiposriftas7">
    <w:name w:val="Numatytasis pastraipos šriftas7"/>
    <w:rsid w:val="008F6F77"/>
  </w:style>
  <w:style w:type="character" w:customStyle="1" w:styleId="Numatytasispastraiposriftas6">
    <w:name w:val="Numatytasis pastraipos šriftas6"/>
    <w:rsid w:val="008F6F77"/>
  </w:style>
  <w:style w:type="character" w:customStyle="1" w:styleId="WW-Absatz-Standardschriftart111111111111111111111111111111111111111111111111">
    <w:name w:val="WW-Absatz-Standardschriftart111111111111111111111111111111111111111111111111"/>
    <w:rsid w:val="008F6F77"/>
  </w:style>
  <w:style w:type="character" w:customStyle="1" w:styleId="Numatytasispastraiposriftas5">
    <w:name w:val="Numatytasis pastraipos šriftas5"/>
    <w:rsid w:val="008F6F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F6F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6F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6F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6F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6F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6F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6F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6F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6F77"/>
  </w:style>
  <w:style w:type="character" w:customStyle="1" w:styleId="Numatytasispastraiposriftas4">
    <w:name w:val="Numatytasis pastraipos šriftas4"/>
    <w:rsid w:val="008F6F77"/>
  </w:style>
  <w:style w:type="character" w:customStyle="1" w:styleId="Numatytasispastraiposriftas3">
    <w:name w:val="Numatytasis pastraipos šriftas3"/>
    <w:rsid w:val="008F6F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6F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6F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6F7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6F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6F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6F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6F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6F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6F77"/>
  </w:style>
  <w:style w:type="character" w:customStyle="1" w:styleId="Numatytasispastraiposriftas2">
    <w:name w:val="Numatytasis pastraipos šriftas2"/>
    <w:rsid w:val="008F6F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6F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6F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6F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6F77"/>
  </w:style>
  <w:style w:type="character" w:customStyle="1" w:styleId="WW8Num1z0">
    <w:name w:val="WW8Num1z0"/>
    <w:rsid w:val="008F6F77"/>
    <w:rPr>
      <w:rFonts w:ascii="Times New Roman" w:eastAsia="Times New Roman" w:hAnsi="Times New Roman" w:cs="Times New Roman"/>
    </w:rPr>
  </w:style>
  <w:style w:type="character" w:customStyle="1" w:styleId="Numatytasispastraiposriftas1">
    <w:name w:val="Numatytasis pastraipos šriftas1"/>
    <w:rsid w:val="008F6F77"/>
  </w:style>
  <w:style w:type="character" w:customStyle="1" w:styleId="Numeravimosimboliai">
    <w:name w:val="Numeravimo simboliai"/>
    <w:rsid w:val="008F6F77"/>
  </w:style>
  <w:style w:type="character" w:customStyle="1" w:styleId="enkleliai">
    <w:name w:val="Ženkleliai"/>
    <w:rsid w:val="008F6F77"/>
    <w:rPr>
      <w:rFonts w:ascii="StarSymbol" w:eastAsia="StarSymbol" w:hAnsi="StarSymbol" w:cs="StarSymbol"/>
      <w:sz w:val="18"/>
      <w:szCs w:val="18"/>
    </w:rPr>
  </w:style>
  <w:style w:type="paragraph" w:customStyle="1" w:styleId="Antrat11">
    <w:name w:val="Antraštė11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Pagrindinistekstas">
    <w:name w:val="Body Text"/>
    <w:basedOn w:val="prastasis"/>
    <w:link w:val="PagrindinistekstasDiagrama"/>
    <w:rsid w:val="008F6F77"/>
    <w:pPr>
      <w:suppressAutoHyphens/>
      <w:spacing w:after="120"/>
    </w:pPr>
    <w:rPr>
      <w:sz w:val="20"/>
      <w:szCs w:val="20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6F77"/>
    <w:rPr>
      <w:rFonts w:ascii="Times New Roman" w:eastAsia="Times New Roman" w:hAnsi="Times New Roman"/>
      <w:lang w:val="en-GB" w:eastAsia="ar-SA"/>
    </w:rPr>
  </w:style>
  <w:style w:type="paragraph" w:styleId="Sraas">
    <w:name w:val="List"/>
    <w:basedOn w:val="Pagrindinistekstas"/>
    <w:rsid w:val="008F6F77"/>
    <w:rPr>
      <w:rFonts w:cs="Tahoma"/>
    </w:rPr>
  </w:style>
  <w:style w:type="paragraph" w:customStyle="1" w:styleId="Pavadinimas11">
    <w:name w:val="Pavadinimas11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Rodykl">
    <w:name w:val="Rodyklė"/>
    <w:basedOn w:val="prastasis"/>
    <w:rsid w:val="008F6F77"/>
    <w:pPr>
      <w:suppressLineNumbers/>
      <w:suppressAutoHyphens/>
    </w:pPr>
    <w:rPr>
      <w:rFonts w:cs="Tahoma"/>
      <w:sz w:val="20"/>
      <w:szCs w:val="20"/>
      <w:lang w:val="en-GB" w:eastAsia="ar-SA"/>
    </w:rPr>
  </w:style>
  <w:style w:type="paragraph" w:customStyle="1" w:styleId="Antrat10">
    <w:name w:val="Antraštė10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10">
    <w:name w:val="Pavadinimas10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9">
    <w:name w:val="Antraštė9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9">
    <w:name w:val="Pavadinimas9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8">
    <w:name w:val="Antraštė8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8">
    <w:name w:val="Pavadinimas8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7">
    <w:name w:val="Antraštė7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7">
    <w:name w:val="Pavadinimas7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6">
    <w:name w:val="Antraštė6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6">
    <w:name w:val="Pavadinimas6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50">
    <w:name w:val="Antraštė5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5">
    <w:name w:val="Pavadinimas5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40">
    <w:name w:val="Antraštė4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4">
    <w:name w:val="Pavadinimas4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30">
    <w:name w:val="Antraštė3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3">
    <w:name w:val="Pavadinimas3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20">
    <w:name w:val="Antraštė2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2">
    <w:name w:val="Pavadinimas2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12">
    <w:name w:val="Antraštė1"/>
    <w:basedOn w:val="prastasis"/>
    <w:next w:val="Pagrindinistekstas"/>
    <w:rsid w:val="008F6F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1">
    <w:name w:val="Pavadinimas1"/>
    <w:basedOn w:val="prastasis"/>
    <w:rsid w:val="008F6F77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Pagrindiniotekstotrauka">
    <w:name w:val="Body Text Indent"/>
    <w:basedOn w:val="prastasis"/>
    <w:link w:val="PagrindiniotekstotraukaDiagrama"/>
    <w:rsid w:val="008F6F77"/>
    <w:pPr>
      <w:suppressAutoHyphens/>
      <w:ind w:firstLine="720"/>
      <w:jc w:val="both"/>
    </w:pPr>
    <w:rPr>
      <w:szCs w:val="20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F6F77"/>
    <w:rPr>
      <w:rFonts w:ascii="Times New Roman" w:eastAsia="Times New Roman" w:hAnsi="Times New Roman"/>
      <w:sz w:val="24"/>
      <w:lang w:eastAsia="ar-SA"/>
    </w:rPr>
  </w:style>
  <w:style w:type="paragraph" w:customStyle="1" w:styleId="Lentelsturinys">
    <w:name w:val="Lentelės turinys"/>
    <w:basedOn w:val="prastasis"/>
    <w:rsid w:val="008F6F77"/>
    <w:pPr>
      <w:suppressLineNumbers/>
      <w:suppressAutoHyphens/>
    </w:pPr>
    <w:rPr>
      <w:sz w:val="20"/>
      <w:szCs w:val="20"/>
      <w:lang w:val="en-GB" w:eastAsia="ar-SA"/>
    </w:rPr>
  </w:style>
  <w:style w:type="paragraph" w:customStyle="1" w:styleId="Lentelsantrat">
    <w:name w:val="Lentelės antraštė"/>
    <w:basedOn w:val="Lentelsturinys"/>
    <w:rsid w:val="008F6F77"/>
    <w:pPr>
      <w:jc w:val="center"/>
    </w:pPr>
    <w:rPr>
      <w:b/>
      <w:bCs/>
      <w:i/>
      <w:iCs/>
    </w:rPr>
  </w:style>
  <w:style w:type="paragraph" w:customStyle="1" w:styleId="Pagrindiniotekstotrauka21">
    <w:name w:val="Pagrindinio teksto įtrauka 21"/>
    <w:basedOn w:val="prastasis"/>
    <w:rsid w:val="008F6F77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Pagrindinistekstas21">
    <w:name w:val="Pagrindinis tekstas 21"/>
    <w:basedOn w:val="prastasis"/>
    <w:rsid w:val="008F6F77"/>
    <w:pPr>
      <w:tabs>
        <w:tab w:val="left" w:pos="440"/>
      </w:tabs>
      <w:suppressAutoHyphens/>
      <w:jc w:val="both"/>
    </w:pPr>
    <w:rPr>
      <w:sz w:val="22"/>
      <w:szCs w:val="20"/>
      <w:lang w:eastAsia="ar-SA"/>
    </w:rPr>
  </w:style>
  <w:style w:type="paragraph" w:customStyle="1" w:styleId="Pagrindinistekstas31">
    <w:name w:val="Pagrindinis tekstas 31"/>
    <w:basedOn w:val="prastasis"/>
    <w:rsid w:val="008F6F77"/>
    <w:pPr>
      <w:tabs>
        <w:tab w:val="left" w:pos="748"/>
      </w:tabs>
      <w:suppressAutoHyphens/>
      <w:jc w:val="center"/>
    </w:pPr>
    <w:rPr>
      <w:b/>
      <w:sz w:val="22"/>
      <w:szCs w:val="20"/>
      <w:lang w:eastAsia="ar-SA"/>
    </w:rPr>
  </w:style>
  <w:style w:type="paragraph" w:styleId="Porat">
    <w:name w:val="footer"/>
    <w:basedOn w:val="prastasis"/>
    <w:link w:val="PoratDiagrama"/>
    <w:rsid w:val="008F6F77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PoratDiagrama">
    <w:name w:val="Poraštė Diagrama"/>
    <w:basedOn w:val="Numatytasispastraiposriftas"/>
    <w:link w:val="Porat"/>
    <w:rsid w:val="008F6F7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BodyTextIndent21">
    <w:name w:val="Body Text Indent 21"/>
    <w:basedOn w:val="prastasis"/>
    <w:rsid w:val="008F6F77"/>
    <w:pPr>
      <w:suppressAutoHyphens/>
      <w:ind w:firstLine="1320"/>
    </w:pPr>
    <w:rPr>
      <w:bCs/>
      <w:szCs w:val="20"/>
      <w:lang w:eastAsia="ar-SA"/>
    </w:rPr>
  </w:style>
  <w:style w:type="paragraph" w:customStyle="1" w:styleId="Standard">
    <w:name w:val="Standard"/>
    <w:rsid w:val="008F6F77"/>
    <w:pPr>
      <w:suppressAutoHyphens/>
      <w:autoSpaceDN w:val="0"/>
    </w:pPr>
    <w:rPr>
      <w:rFonts w:ascii="Times New Roman" w:eastAsia="Times New Roman" w:hAnsi="Times New Roman"/>
      <w:kern w:val="3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3723</Words>
  <Characters>2123</Characters>
  <Application>Microsoft Office Word</Application>
  <DocSecurity>0</DocSecurity>
  <Lines>17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2021-01-24T13:43:00Z</dcterms:created>
  <dcterms:modified xsi:type="dcterms:W3CDTF">2021-01-24T13:46:00Z</dcterms:modified>
</cp:coreProperties>
</file>