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716" w:rsidRDefault="00F00716" w:rsidP="00F00716">
      <w:pPr>
        <w:autoSpaceDE w:val="0"/>
        <w:autoSpaceDN w:val="0"/>
        <w:adjustRightInd w:val="0"/>
        <w:ind w:firstLine="0"/>
        <w:jc w:val="right"/>
        <w:rPr>
          <w:rFonts w:ascii="Times New Roman" w:hAnsi="Times New Roman" w:cs="Times New Roman"/>
          <w:bCs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bCs/>
          <w:sz w:val="24"/>
          <w:szCs w:val="24"/>
          <w:lang w:eastAsia="lt-LT"/>
        </w:rPr>
        <w:t>PATVIRTINTA:</w:t>
      </w:r>
    </w:p>
    <w:p w:rsidR="00F00716" w:rsidRDefault="00F00716" w:rsidP="00F00716">
      <w:pPr>
        <w:autoSpaceDE w:val="0"/>
        <w:autoSpaceDN w:val="0"/>
        <w:adjustRightInd w:val="0"/>
        <w:ind w:firstLine="0"/>
        <w:jc w:val="right"/>
        <w:rPr>
          <w:rFonts w:ascii="Times New Roman" w:hAnsi="Times New Roman" w:cs="Times New Roman"/>
          <w:bCs/>
          <w:sz w:val="24"/>
          <w:szCs w:val="24"/>
          <w:lang w:eastAsia="lt-LT"/>
        </w:rPr>
      </w:pPr>
      <w:r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Salos etnokultūros ir informacijos centro </w:t>
      </w:r>
    </w:p>
    <w:p w:rsidR="00F00716" w:rsidRDefault="00F00716" w:rsidP="00F00716">
      <w:pPr>
        <w:autoSpaceDE w:val="0"/>
        <w:autoSpaceDN w:val="0"/>
        <w:adjustRightInd w:val="0"/>
        <w:ind w:firstLine="0"/>
        <w:jc w:val="right"/>
        <w:rPr>
          <w:rFonts w:ascii="Times New Roman" w:hAnsi="Times New Roman" w:cs="Times New Roman"/>
          <w:bCs/>
          <w:sz w:val="24"/>
          <w:szCs w:val="24"/>
          <w:lang w:eastAsia="lt-LT"/>
        </w:rPr>
      </w:pPr>
      <w:r>
        <w:rPr>
          <w:rFonts w:ascii="Times New Roman" w:hAnsi="Times New Roman" w:cs="Times New Roman"/>
          <w:bCs/>
          <w:sz w:val="24"/>
          <w:szCs w:val="24"/>
          <w:lang w:eastAsia="lt-LT"/>
        </w:rPr>
        <w:t>Direktoriaus  įsakymu 2016 m. gegužės 20 d.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right"/>
        <w:rPr>
          <w:rFonts w:ascii="Times New Roman" w:hAnsi="Times New Roman" w:cs="Times New Roman"/>
          <w:bCs/>
          <w:sz w:val="24"/>
          <w:szCs w:val="24"/>
          <w:lang w:eastAsia="lt-LT"/>
        </w:rPr>
      </w:pPr>
      <w:r>
        <w:rPr>
          <w:rFonts w:ascii="Times New Roman" w:hAnsi="Times New Roman" w:cs="Times New Roman"/>
          <w:bCs/>
          <w:sz w:val="24"/>
          <w:szCs w:val="24"/>
          <w:lang w:eastAsia="lt-LT"/>
        </w:rPr>
        <w:t>įsakymo Nr.V4-19</w:t>
      </w:r>
    </w:p>
    <w:p w:rsidR="00F00716" w:rsidRDefault="00F00716" w:rsidP="00F00716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</w:p>
    <w:p w:rsidR="00F00716" w:rsidRDefault="00F00716" w:rsidP="00F00716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lt-LT"/>
        </w:rPr>
        <w:t xml:space="preserve">SALOS ETNOKULTŪROS IR INFORMACIJOS CENTRO 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FINANSŲ KONTROLĖS TAISYKLĖS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I SKYRIUS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BENDROSIOS NUOSTATOS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 xml:space="preserve">1. </w:t>
      </w:r>
      <w:r>
        <w:rPr>
          <w:rFonts w:ascii="Times New Roman" w:hAnsi="Times New Roman" w:cs="Times New Roman"/>
          <w:sz w:val="24"/>
          <w:szCs w:val="24"/>
          <w:lang w:eastAsia="lt-LT"/>
        </w:rPr>
        <w:t xml:space="preserve">Salos etnokultūros ir informacijos centro </w:t>
      </w:r>
      <w:r w:rsidRPr="007B6F16">
        <w:rPr>
          <w:rFonts w:ascii="Times New Roman" w:hAnsi="Times New Roman" w:cs="Times New Roman"/>
          <w:sz w:val="24"/>
          <w:szCs w:val="24"/>
          <w:lang w:eastAsia="lt-LT"/>
        </w:rPr>
        <w:t>(toliau – Įstaiga) finansų kontrolės taisyklės (toliau – Taisyklės) –</w:t>
      </w:r>
      <w:r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Pr="007B6F16">
        <w:rPr>
          <w:rFonts w:ascii="Times New Roman" w:hAnsi="Times New Roman" w:cs="Times New Roman"/>
          <w:sz w:val="24"/>
          <w:szCs w:val="24"/>
          <w:lang w:eastAsia="lt-LT"/>
        </w:rPr>
        <w:t>vidaus dokumentas, reglamentuojantis finansų kontrolės organizavimą Įstaigoje ir darbuotojų,</w:t>
      </w:r>
      <w:r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Pr="007B6F16">
        <w:rPr>
          <w:rFonts w:ascii="Times New Roman" w:hAnsi="Times New Roman" w:cs="Times New Roman"/>
          <w:sz w:val="24"/>
          <w:szCs w:val="24"/>
          <w:lang w:eastAsia="lt-LT"/>
        </w:rPr>
        <w:t>atliekančių joje finansų kontrolę, pareigas ir atsakomybę.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2. Taisyklės yra parengtos vadovaujantis Lietuvos Respublikos biudžeto sandaros įstatymu,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Lietuvos Respublikos buhalterinės apskaitos įstatymu, Lietuvos Respublikos viešojo sektoriaus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atskaitomybės įstatymu, Lietuvos Respublikos vidaus kontrolės ir vidaus audito įstatymo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(Žin.,2013-01-30 Nr. 11-504, aktuali redakcija) 4 straipsniu, Lietuvos Respublikos finansų ministro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2005 m. lapkričio 29 d. įsakymu Nr. 1K – 362 ,,Dėl Lietuvos Respublikos finansų ministro 2003 m.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gegužės 8 d. įsakymo Nr. 1K-123 ,,Dėl minimalių finansų kontrolės reikalavimų patvirtinimo“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pakeitimo (aktuali redakcija).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3. Finansų kontrolė atliekama atsižvelgiant į Įstaigos strateginius tikslus, Įstaigos nuostatuose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nustatytas funkcijas, veiklos pobūdį ir ypatumus, veiklos riziką, organizacinę struktūrą, apskaitos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politiką, apskaitos ir informacinę sistemą ir kitus vidaus tvarkos dokumentus.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4. Šios taisyklės remiasi pareigų atskyrimo, kompetencijos ir atsakomybės principais.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5. Taisyklėse vartojamos sąvokos paaiškinamos Lietuvos Respublikos vidaus kontrolės ir vidaus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audito įstatyme, Lietuvos Respublikos buhalterinės apskaitos įstatyme, Lietuvos Respublikos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viešojo sektoriaus atskaitomybės įstatyme, Lietuvos Respublikos biudžeto sandaros įstatyme.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II SKYRIUS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FINANSŲ KONTROLĖS TIKSLAI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6. Vidaus finansų kontrolė turi užtikrinti, kad būtų įgyvendinti šie tikslai: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6.1. veikla būtų vykdoma įstatymų, kitų teisės aktų nustatyta tvarka pagal strateginius ir veiklos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planus, programas ir patvirtintas priemones;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6.2. valstybės ir savivaldybės turtas bei įsipareigojimai tretiesiems asmenims būtų apsaugoti nuo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sukčiavimo, iššvaistymo, pasisavinimo, neteisėto valdymo ar kitų neteisėtų veikų;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6.3. kontrolės priemonės būtų taikomos kiekvienai veiklai, susijusiai su išteklių valdymu;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6.4. informacija (taip pat ir saugoma kompiuterinėse laikmenose), apskaitos dokumentai ir apskaitos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registrai turi būti saugomi nuo vagystės, netinkamo naudojimo ar sunaikinimo;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6.5. Įstaiga, vykdydama veiklą, laikytųsi patikimo finansų valdymo principų, t.y. ekonomiškumo,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efektyvumo, rezultatyvumo ir skaidrumo;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6.6. Įstaigos finansinės ir kitos veiklos ataskaitos privalo būti teisingos ir pateikiamos teisės aktų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nustatyta tvarka.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7. Siekiant, kad kontrolė būtų veiksminga, ji turi būti: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7.1. tinkama – reikiama kontrolė reikiamoje vietoje;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7.2. vykdoma atsižvelgiant į rizikos veiksnius. Įvertinti juos, vadovaujantis auditų išvadomis ir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rekomendacijomis pasitarimų metu, siekiant, kad administracijos tikslai ir prisiimti uždaviniai būtų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įgyvendinti;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7.3. optimali, nes per didelė kontrolė stabdo veiklos procesus, o nepakankama kontrolė neužtikrina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tinkamo rizikos valdymo ir rezultatų pasiekimo;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7.4. funkcionuoti nenutrūkstamai – kiekvienam veiksmui su turtu turi būti taikomos nustatytos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administracijos finansų kontrolės procedūros.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III SKYRIUS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b/>
          <w:bCs/>
          <w:sz w:val="24"/>
          <w:szCs w:val="24"/>
          <w:lang w:eastAsia="lt-LT"/>
        </w:rPr>
        <w:lastRenderedPageBreak/>
        <w:t>PAGRINDINIAI FINANSŲ KONTROLĖS REIKALAVIMAI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8. Finansų kontrolė atliekama laikantis kontrolės nuoseklumo: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 xml:space="preserve">8.1. </w:t>
      </w:r>
      <w:r w:rsidRPr="007B6F16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 xml:space="preserve">išankstinė finansų kontrolė </w:t>
      </w:r>
      <w:r w:rsidRPr="007B6F16">
        <w:rPr>
          <w:rFonts w:ascii="Times New Roman" w:hAnsi="Times New Roman" w:cs="Times New Roman"/>
          <w:sz w:val="24"/>
          <w:szCs w:val="24"/>
          <w:lang w:eastAsia="lt-LT"/>
        </w:rPr>
        <w:t>– kontrolė, vykdoma priimant arba atmetant sprendimus,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susijusius su finansinių išteklių panaudojimu, įsipareigojimais tretiesiems asmenims, valstybės ir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savivaldybės turto panaudojimu, kai juos patvirtina už išankstinę kontrolę atsakingas darbuotojas.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Išankstinės kontrolės metu nustatoma projekto, įsipareigojimo arba sandorio tikslingumas, ar lėšos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tam tikslui numatytos sąmatoje, ar tam pakanka lėšų. Jos paskirtis – neleisti neracionaliai naudoti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lėšų, materialinių vertybių, vertinti, kiek yra pajamų ir kiek galima daryti išlaidų. Išankstinės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finansų kontrolės funkcija turi būti atskirta nuo sprendimų inicijavimo ir vykdymo.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 xml:space="preserve">8.2. </w:t>
      </w:r>
      <w:r w:rsidRPr="007B6F16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 xml:space="preserve">einamoji kontrolė </w:t>
      </w:r>
      <w:r w:rsidRPr="007B6F16">
        <w:rPr>
          <w:rFonts w:ascii="Times New Roman" w:hAnsi="Times New Roman" w:cs="Times New Roman"/>
          <w:sz w:val="24"/>
          <w:szCs w:val="24"/>
          <w:lang w:eastAsia="lt-LT"/>
        </w:rPr>
        <w:t>– kontrolė, kurios paskirtis – užtikrinti, kad tinkamai ir laiku būtų vykdomi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sprendimai dėl įstaigos turto panaudojimo ir įsipareigojimų tretiesiems asmenims (lėšos ir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materialinės vertybės būtų naudojamos pagal paskirtį, tinkamai saugomos ir įtraukiamos į apskaitą).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Einamoji finansų kontrolė atliekama lėšų naudojimo metu.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 xml:space="preserve">8.3. </w:t>
      </w:r>
      <w:r w:rsidRPr="007B6F16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 xml:space="preserve">paskesnioji kontrolė </w:t>
      </w:r>
      <w:r w:rsidRPr="007B6F16">
        <w:rPr>
          <w:rFonts w:ascii="Times New Roman" w:hAnsi="Times New Roman" w:cs="Times New Roman"/>
          <w:sz w:val="24"/>
          <w:szCs w:val="24"/>
          <w:lang w:eastAsia="lt-LT"/>
        </w:rPr>
        <w:t>atliekama po sprendimų dėl ūkinių operacijų ar įsipareigojimų tretiesiems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asmenims įvykdymo, panaudojus lėšas. Šios kontrolės metu tikrinami jau atlikti susiję veiksmai,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siekiant nustatyti, ar teisėtai ir pagal paskirtį panaudotos lėšos ir materialinės vertybės, ar nebuvo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įstatymų pažeidimų, piktnaudžiavimų. Paskesniosios kontrolės negali atlikti darbuotojas, atsakingas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už išankstinę finansų kontrolę.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9. Turi būti užtikrintas tinkamas pareigų atskyrimas, t. y. vienas darbuotojas negali tuo pačiu metu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būti atsakingas už ūkines operacijas arba sprendimo dėl valstybės arba savivaldybės turto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panaudojimo arba įsipareigojimų tretiesiems asmenims tvirtinimą, vykdymą ir apskaitą.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10. Priimti sprendimai dėl valstybės arba savivaldybės turto panaudojimo arba prisiimamų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įsipareigojimų ir ūkinės operacijos turi būti dokumentuoti taip, kad juos būtų galima atsakyti nuo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priėmimo iki vykdymo pabaigos.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IV SKYRIUS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FINANSŲ KONTROLĖS DIEGIMAS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11. Įstaigos vadovas atsako už finansų kontrolės viešajame juridiniame asmenyje sukūrimą ir jos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veikimo priežiūrą bei finansinių kontrolės taisyklių tvirtinimą.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12. Įstaigos vadovas, diegdamas finansų kontrolę bei tvirtindamas viešojo juridinio asmens finansų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kontrolės taisykles, atsižvelgia į Finansų ministerijos metodinius nurodymus ir rekomendacijas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finansų kontrolės srityje ir šiuos viešojo juridinio asmens kriterijus: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12.1. veikos pobūdį ir ypatumus;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12.2. veiklos riziką;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12.3. organizacinę struktūrą;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12.4. apskaitos ir informacinę sistemą;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12.5. turto apsaugos būklę.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13. Įstaigos vadovas, diegdamas finansų kontrolę, prižiūrėdamas jos veikimą ir tobulindamas ją,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privalo užtikrinti reikalavimų finansų kontrolei, nurodytų šių Taisyklių III skyriuje, laikymąsi.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14. Įstaigos darbuotojai privalo laiku ir kokybiškai atlikti savo pareigas finansų kontrolės srityje.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V SKYRIUS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IŠANKSTINĖ FINANSŲ KONTROLĖ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15. Išankstinę ūkinės operacijos finansų kontrolę vykdo Įstaigos vadovas arba jo paskirtas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atsakingas darbuotojas. Jis atsako už: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15.1. išankstinę finansų kontrolę, kurios metu nustatoma, ar ūkinės operacijos bus atliekamos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neviršijant Įstaigos patvirtintų biudžeto asignavimų, ar ketinamos vykdyti ūkinės operacijos atitinka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patvirtintas biudžeto programų sąmatas ar lėšas ir ar ūkinė operacija yra teisėta;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15.2. išankstinę kontrolę priimant sprendimus dėl valstybės ir savivaldybės turto valdymo,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naudojimo bei disponavimo;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15.3. viešųjų pirkimų planavimą, neviršijant biudžeto sąmatose patvirtintų asignavimų ir kitų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numatytų lėšų;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lastRenderedPageBreak/>
        <w:t>15.4. teisingą pirkimo vertės apskaičiavimą ir pirkimo būdo parinkimą;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15.5. viešųjų pirkimų plano numatomų pirkimų atitiktį Įstaigos veiklos tikslams bei biudžeto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sąmatose planuojamoms lėšoms;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15.6. inicijuojamų pirkimų atitikimą, veiklos plano programų tikslus ir uždavinius, ir lėšos jiems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vykdyti numatytos sąmatose.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16. Aukščiau nurodyti asmenys, vykdydami išankstinę Įstaigos kontrolę, pasirašo arba atsisako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pasirašyti atitinkamus dokumentus, leidžiančius atlikti ūkinę ar finansinę operaciją: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16.1. pasirašydami ūkinės operacijos dokumentus, parašu ir data parvirtina, kad ūkinė operacija yra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teisėta, dokumentai, susiję su ūkinės operacijos atlikimu, yra tinkamai parengti ir operacijai atlikti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skirta pakankamai asignavimų;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16.2. Jeigu išankstinės finansų kontrolės metu nustatoma, kad ūkinė ar finansinė operacija yra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neteisėta arba, kad jai atlikti nepakaks patvirtintų asignavimų, kad ūkinę ar finansinę operaciją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pagrindžiantys dokumentai yra netinkamai parengti, ūkinės ar finansinės operacijos dokumentai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grąžinami juos rengusiam darbuotojui. Nustatęs šiuos faktus, privalo atsisakyti pasirašyti ūkinės ar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finansinės operacijos dokumentus ir, nurodydami atsisakymo priežastis, apie tai informuoti Įstaigos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direktorių, kuris gali atsisakyti tvirtinti ūkinę ar finansinę operaciją.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17. Ūkines operacijas pagal savo kompetenciją inicijuoja Įstaigos direktorius arba jo įgaliotas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asmuo, vadovaudamasis Lietuvos Respublikos viešųjų pirkimų įstatymu.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VI SKYRIUS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EINAMOJI FINANSŲ KONTROLĖ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 xml:space="preserve">18. Ūkinių operacijų einamąją finansų kontrolę vykdo </w:t>
      </w:r>
      <w:r>
        <w:rPr>
          <w:rFonts w:ascii="Times New Roman" w:hAnsi="Times New Roman" w:cs="Times New Roman"/>
          <w:sz w:val="24"/>
          <w:szCs w:val="24"/>
          <w:lang w:eastAsia="lt-LT"/>
        </w:rPr>
        <w:t xml:space="preserve">Šilutės </w:t>
      </w:r>
      <w:r w:rsidRPr="007B6F16">
        <w:rPr>
          <w:rFonts w:ascii="Times New Roman" w:hAnsi="Times New Roman" w:cs="Times New Roman"/>
          <w:sz w:val="24"/>
          <w:szCs w:val="24"/>
          <w:lang w:eastAsia="lt-LT"/>
        </w:rPr>
        <w:t xml:space="preserve"> rajono savivaldybės administracijos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Įstaigų centralizuotos buhalterinės apskaitos skyrius (toliau – Skyriaus).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19. Skyrius atsako už tinkamą Įstaigos apskaitos politikos įgyvendinimo ir apskaitos tvarkymo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kontrolę.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20. Skyrius užtikrina: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20.1. kad dokumentai būtų surašomi laiku;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20.2. visi apskaitos dokumentai būtų įtraukti į apskaitos registrus ir jie būtų įtraukti tik vieną kartą.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21. Skyriaus užduotys vykdant einamąją kontrolę: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21.1. Ūkinių įvykių ir ūkinių operacijų dokumentai: užtikrina, kad surašant ir pasirašant apskaitos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dokumentus, pasirašytų tik atitinkamus įgaliojimus turinys darbuotojai; aptikus klaidų ir netikslumų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apskaitos dokumentuose būtų nedelsiant imamasi priemonių klaidoms ir netikslumams ištaisyti, o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klaidos būtų taisomos visuose su ūkine operacija susijusiuose dokumentuose, būtų laikomasi ūkinių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operacijų atlikimo nuoseklumo, nuo patvirtinimo jas atlikti iki įtraukimo į apskaitos registrus,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apskaitos dokumentas būtų surašomas nustatytu laiku atlikus ūkinę operaciją;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21.2. turto apskaita: užtikrina, kad būtų laikomasi turto pajamavimo, saugojimo, išlaidavimo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naudoti ir nurašymo tvarkos; atliekant veiksmus, susijusius su turtu, nusidėvėjęs turtas būtų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parodomas apskaitoje ir nebūtų sąlygų nusidėvėjusiam turtui pasisavinti, inventorizacijos metu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nustačius neatitikimų arba trukumų, atitinkamai būtų koreguojami apskaitos registruose;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21.3. piniginių lėšų apskaita: užtikrina, kad banko išrašų ir apskaitos registrų likučiai būtų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periodiškai sutikrinami; dokumentai patikrinami prieš atliekant mokėjimą, o išmokamos sumos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atitiktų patvirtintąsias;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21.4. įsipareigojimų apskaita: Užtikrina, kad įsipareigojimai būtų įtraukti į apskaitos registrus tik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įsitikinus, kad jie yra teisėti ir patvirtinti dokumentais; įsipareigojimai sumažėtų (padidėtų) tik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gavus atitinkamus apskaitos dokumentus, kiekvienos įsiskolinimo atveju būtų tiksliai žinomos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mokėtinos ir gautinos sumos;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21.5. registrų sudarymas: užtikrina, kad sudarytus apskaitos registrus pasirašo darbuotojai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atskaitingi už jų sudarymą ir patikimumą; apskaitos registrų duomenys yra tikrinami prieš juos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perkeliant į ataskaitas, apskaitos registrai sudaromi laiku.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22. Skyrius, vykdydamas einamąją finansinę kontrolę turi teisę reikalauti, kad jiems būtų pateikti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visi su pirkimu, pavedimu ar bet kokiu lėšų išmokėjimu ar turto panaudojimu susiję dokumentai ir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lastRenderedPageBreak/>
        <w:t>kad jie būtų tinkamai parengti, vizuoti, surašyti ir (ar) pasirašyti asmenų, turinčių teisę surašyti ir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(ar) pasirašyti apskaitos dokumentus, ir juos patvirtinti. Jei buvo pateikti ne visi dokumentai ir jų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negalima pateikti, Skyrius iš atsakingų asmenų privalo pareikalauti parengti pažymą, aktą ar kitą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dokumentą, kurio pagrindu surašomas laisvos formos apskaitos dokumentas, kuriame būtų visi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Lietuvos Respublikos buhalterinės apskaitos įstatymo 13 straipsnyje nustatyti privalomi rekvizitai.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VII SKYRIUS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PASKESNIOJI FINANSŲ KONTROLĖ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 xml:space="preserve">23. </w:t>
      </w:r>
      <w:r w:rsidRPr="007B6F16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 xml:space="preserve">Paskesniąją finansų kontrolę </w:t>
      </w:r>
      <w:r w:rsidRPr="007B6F16">
        <w:rPr>
          <w:rFonts w:ascii="Times New Roman" w:hAnsi="Times New Roman" w:cs="Times New Roman"/>
          <w:sz w:val="24"/>
          <w:szCs w:val="24"/>
          <w:lang w:eastAsia="lt-LT"/>
        </w:rPr>
        <w:t>vykdo Įstaigos direktorius. Jis kiekvieną kartą, pasirašydamas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finansinę atskaitomybę, peržiūri balanso straipsnių pasikeitimus, išlaidų sąmatos vykdymo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rezultatus, atsiskaitymų būklę ir aptaria tolimesnę strategiją su atsakingais darbuotojais.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24. Paskesniosios kontrolės funkcijos negali būti pavestos atlikti darbuotojams, kurie atlieka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išankstinę finansų kontrolę.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25. Paskesniąją finansų kontrolę vykdantis Įstaigos direktorius arba jo paskirtas atsakingas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darbuotojas atrankos būdu, savo pasirinktais būdais ir metodais (surinkdami įvairią informaciją,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ataskaitas iš asmenų, atliekančių išankstinę ir einamąją finansų kontrolę, ir pan.) didžiausią riziką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keliančiose srityse įvertina, ar ūkinės operacijos buvo atliktos teisėtai, ar pagal poreikį naudojamas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įstaigos turtas, ar nebuvo teisės aktų, vadovų nurodymų pažeidimų bei piktnaudžiavimų.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VIII SKYRIUS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ŪKINIŲ OPERACIJŲ VYKDYMO IR TVIRTINIMO KONTROLĖ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 xml:space="preserve">26. Ūkinės operacijos vykdomos vadovaujantis </w:t>
      </w:r>
      <w:r>
        <w:rPr>
          <w:rFonts w:ascii="Times New Roman" w:hAnsi="Times New Roman" w:cs="Times New Roman"/>
          <w:sz w:val="24"/>
          <w:szCs w:val="24"/>
          <w:lang w:eastAsia="lt-LT"/>
        </w:rPr>
        <w:t xml:space="preserve">Šilutės </w:t>
      </w:r>
      <w:r w:rsidRPr="007B6F16">
        <w:rPr>
          <w:rFonts w:ascii="Times New Roman" w:hAnsi="Times New Roman" w:cs="Times New Roman"/>
          <w:sz w:val="24"/>
          <w:szCs w:val="24"/>
          <w:lang w:eastAsia="lt-LT"/>
        </w:rPr>
        <w:t xml:space="preserve"> rajono savivaldybės tarybos patvirtintu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biudžetu.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27. Ūkinės operacijos sprendimo inicijavimas apima finansinės būklės analizę, lėšų poreikio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pagrindimą, ekonominius skaičiavimus ir reikiamų dokumentų parengimą.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28. Už ūkinės operacijos sprendimo inicijavimą yra atsakingas Įstaigos direktorius. Taip pat pagal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savo kompetenciją sprendimą inicijuoja Įstaigos įgalioti darbuotojai, parengdami laisvos formos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tarnybinį pranešimą arba kitą sprendimą inicijuojantį dokumentą.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29. Prekių, paslaugų ir darbų pirkimai, sprendimo dėl jų priėmimo bei atitinkamų pirkimų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procedūrų vykdymas atliekamas vadovaujantis Lietuvos Respublikos viešųjų pirkimų įstatymu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numatytomis procedūromis ir Įstaigos viešųjų supaprastintų pirkimų taisyklėmis, jų pakeitimais ir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kitais teisės aktais.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30. Ūkinės operacijos išankstinę finansų kontrolę atlieka Įstaigos direktorius arba jo paskirtas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atsakingas darbuotojas, kuris patikrina: ar ūkinė operacija (atliekama Įstaigoje) bus atliekama pagal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patvirtintas programų sąmatas.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31. Einamosios kontrolės metu tikrinama ir įsitikinama, kad priimti sprendimai vykdomi geriausiu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būdu.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32. Einamosios kontrolės metu nustatę neatitikčių ar trūkumų (pateikti netinkami dokumentai,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pateiktos nekokybiškos prekės ar paslaugos, nekokybiškai atlikti darbai, pažeisti prekių tiekimo,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paslaugų teikimo ar darbų atlikimo terminai, neatitinka kiekis, apimtys ar kt.), darbuotojas turi imtis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veiksmų šioms neatitiktims ar trūkumams pašalinti. Kai nėra galimybės ištaisyti nustatytus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trūkumus ar neatitiktis, darbuotojas nedelsdamas žodžiu informuoja Įstaigos direktorių.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33. Paskesniąją finansų kontrolę vykdo Įstaigos direktorius arba jo paskirtas atsakingas darbuotojas.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34. Dokumentai rengiami vadovaujantis buhalterinės apskaitos vadovu.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IX SKYRIUS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MOKĖJIMŲ KONTROLĖ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35. Mokėjimų kontrolę vykdo Skyriaus darbuotojai, atsakingi už buhalterinės apskaitos tvarkymą.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36. Darbuotojai, gavę ūkinę operaciją pagrindžiančius ir mokėjimams atlikti reikalingus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dokumentus ( sąskaitas-faktūras, sutartis ir kt.), patikrina ar jie pasirašyti, ar teisingi duomenys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įrašyti į sąskaitą-faktūrą, ar pakanka asignavimų.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37. Mokėjimams atlikti pateikiami šie dokumentai: sutartis arba jos kopija, sąskaita-faktūra arba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išankstinio apmokėjimo sąskaita, suteiktų paslaugų ar atliktų darbų perdavimo-priėmimo aktas, kiti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lastRenderedPageBreak/>
        <w:t>dokumentai.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X SKYRIUS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TURTO NAUDOJIMO KONTROLĖ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38. Pagal Įstaigos nuostatus ir paskirtas funkcijas Įstaigos vadovas vykdo turto, priskirto Įstaigos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funkcijoms įgyvendinti, administravimą ir kontrolę.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39. Už turto saugojimą yra paskiriami materialiai atsakingi darbuotojai, su kuriais yra sudaromos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materialinės atsakomybės sutartys.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40. Turto naudojimo kontrolę vykdantys darbuotojai privalo užtikrinti, kad: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41.1. turtas būtų naudojamas ekonomiškai ir efektyviai;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41.2. dokumentai, kurių pagrindu atliekamas turto perdavimas, pardavimas, nurašymas,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likvidavimas ir kitos operacijos, susijusios su turto valdymo, būtų parengti vadovaujanti Lietuvos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Respublikos įstatymais ir kitais teisės aktais, reglamentuojančiais turto valdymą;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41.3. apskaitos dokumentai, susiję su turto pirkimu, pardavimu, perdavimu, nurašymu ir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likvidavimu, būtų surašomi ūkinės operacijos metu, ir ne vėliau kaip per 5 darbo dienas būtų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perduodami Skyriui;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41.4. atleidžiami iš užimamų pareigų Įstaigos darbuotojai grąžintų, jiems perduotą naudoti turtą,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darbuotojui atsakingam už turto valdymą.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42. Turto inventorizacija atliekama be rečiau kaip kartą per metus, o esant būtinumui – ir dažniau.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XI SKYRIUS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BUHALTERINĖS APSKAITOS KONTROLĖ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43. Skyrius, tvarkantis Įstaigos buhalterinę apskaitą, atsako už Įstaigos apskaitos tvarkymą pagal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Lietuvos Respublikos buhalterinės apskaitos įstatymą, Lietuvos Respublikos viešojo sektoriaus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atskaitomybės įstatymą, Viešojo sektoriaus apskaitos ir finansinės atskaitomybės standartus,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Įstaigos apskaitos vadovą (nustatytą apskaitos politiką) ir kitus buhalterinę apskaitą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reglamentuojančius teisės aktus.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44. Skyrius, tvarkantis Įstaigos apskaitą, atsako už visų tinkamai įformintų ir apskaitos dokumentais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pagrįstų ūkinių įvykių ir ūkinių operacijų įtraukimą į apskaitą ir buhalterinių įrašų atitiktį ūkinių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įvykių ar ūkinių operacijų turiniui.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XII SKYRIUS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BAIGIAMOSIOS NUOSTATOS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45. Visi už finansų kontrolę atsakingi asmenys privalo laiku ir kokybiškai atlikti savo finansų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kontrolės pareigas, privalo sekti, kad kontrolė Įstaigoje būtų veiksminga, t. y. patys privalo vykdyti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finansų kontrolę savo konkrečios veiklos aplinkoje ir atsakyti už jos nevykdymą.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46. Įstaigos darbuotojai, pastebėję šių taisyklių pažeidimus, apie juos privalo informuoti direktorių.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47. Įstaigos darbuotojai turi teisę raštu direktoriui teikti šių taisyklių ir finansų kontrolės tobulinimo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pasiūlymus.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48. Įstaigos direktorius užtikrina, kad būtų pašalinti finansų kontrolės srityje atsakingų asmenų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nustatyti trūkumai ir jų atsiradimą keliantys veiksniai.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49. darbuotojai už šių taisyklių nuostatų nesilaikymą atsako Lietuvos Respublikos teisės aktų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nustatyta tvarka.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50. Šiose taisyklėse nurodytų darbuotojų, atliekančių finansų kontrolės procedūras, pagrindinės</w:t>
      </w:r>
    </w:p>
    <w:p w:rsidR="00F00716" w:rsidRPr="007B6F16" w:rsidRDefault="00F00716" w:rsidP="00F00716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pareigos ir atsakomybė finansų kontrolės srityje yra aprašomos jų pareigybių aprašymuose.</w:t>
      </w:r>
    </w:p>
    <w:p w:rsidR="00F00716" w:rsidRPr="007B6F16" w:rsidRDefault="00F00716" w:rsidP="00F00716">
      <w:pPr>
        <w:jc w:val="center"/>
        <w:rPr>
          <w:rFonts w:ascii="Times New Roman" w:hAnsi="Times New Roman" w:cs="Times New Roman"/>
          <w:sz w:val="24"/>
          <w:szCs w:val="24"/>
        </w:rPr>
      </w:pPr>
      <w:r w:rsidRPr="007B6F16">
        <w:rPr>
          <w:rFonts w:ascii="Times New Roman" w:hAnsi="Times New Roman" w:cs="Times New Roman"/>
          <w:sz w:val="24"/>
          <w:szCs w:val="24"/>
          <w:lang w:eastAsia="lt-LT"/>
        </w:rPr>
        <w:t>______________________</w:t>
      </w:r>
    </w:p>
    <w:p w:rsidR="00FF1E89" w:rsidRDefault="00FF1E89"/>
    <w:sectPr w:rsidR="00FF1E89" w:rsidSect="00FF1E8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1296"/>
  <w:hyphenationZone w:val="396"/>
  <w:characterSpacingControl w:val="doNotCompress"/>
  <w:compat/>
  <w:rsids>
    <w:rsidRoot w:val="00F00716"/>
    <w:rsid w:val="003B5312"/>
    <w:rsid w:val="003F3A75"/>
    <w:rsid w:val="00472F0A"/>
    <w:rsid w:val="00F00716"/>
    <w:rsid w:val="00FF1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00716"/>
    <w:pPr>
      <w:ind w:firstLine="720"/>
    </w:pPr>
    <w:rPr>
      <w:rFonts w:ascii="Arial" w:hAnsi="Arial" w:cs="Arial"/>
      <w:lang w:eastAsia="en-US"/>
    </w:rPr>
  </w:style>
  <w:style w:type="paragraph" w:styleId="Antrat1">
    <w:name w:val="heading 1"/>
    <w:basedOn w:val="prastasis"/>
    <w:link w:val="Antrat1Diagrama"/>
    <w:qFormat/>
    <w:rsid w:val="003B5312"/>
    <w:pPr>
      <w:keepNext/>
      <w:spacing w:before="240" w:after="60"/>
      <w:ind w:firstLine="0"/>
      <w:outlineLvl w:val="0"/>
    </w:pPr>
    <w:rPr>
      <w:b/>
      <w:bCs/>
      <w:kern w:val="36"/>
      <w:sz w:val="32"/>
      <w:szCs w:val="32"/>
      <w:lang w:eastAsia="lt-LT"/>
    </w:rPr>
  </w:style>
  <w:style w:type="paragraph" w:styleId="Antrat3">
    <w:name w:val="heading 3"/>
    <w:basedOn w:val="prastasis"/>
    <w:link w:val="Antrat3Diagrama"/>
    <w:qFormat/>
    <w:rsid w:val="003B5312"/>
    <w:pPr>
      <w:keepNext/>
      <w:spacing w:before="240" w:after="60"/>
      <w:ind w:firstLine="0"/>
      <w:outlineLvl w:val="2"/>
    </w:pPr>
    <w:rPr>
      <w:b/>
      <w:bCs/>
      <w:sz w:val="26"/>
      <w:szCs w:val="26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3B5312"/>
    <w:rPr>
      <w:rFonts w:ascii="Arial" w:hAnsi="Arial" w:cs="Arial"/>
      <w:b/>
      <w:bCs/>
      <w:kern w:val="36"/>
      <w:sz w:val="32"/>
      <w:szCs w:val="32"/>
      <w:lang w:val="lt-LT" w:eastAsia="lt-LT" w:bidi="ar-SA"/>
    </w:rPr>
  </w:style>
  <w:style w:type="character" w:customStyle="1" w:styleId="Antrat3Diagrama">
    <w:name w:val="Antraštė 3 Diagrama"/>
    <w:link w:val="Antrat3"/>
    <w:rsid w:val="003B5312"/>
    <w:rPr>
      <w:rFonts w:ascii="Arial" w:hAnsi="Arial" w:cs="Arial"/>
      <w:b/>
      <w:bCs/>
      <w:sz w:val="26"/>
      <w:szCs w:val="26"/>
      <w:lang w:val="lt-LT" w:eastAsia="lt-LT" w:bidi="ar-SA"/>
    </w:rPr>
  </w:style>
  <w:style w:type="paragraph" w:styleId="Pavadinimas">
    <w:name w:val="Title"/>
    <w:basedOn w:val="prastasis"/>
    <w:link w:val="PavadinimasDiagrama"/>
    <w:qFormat/>
    <w:rsid w:val="003B5312"/>
    <w:pPr>
      <w:ind w:firstLine="0"/>
      <w:jc w:val="center"/>
    </w:pPr>
    <w:rPr>
      <w:rFonts w:ascii="Calibri" w:hAnsi="Calibri" w:cs="Times New Roman"/>
      <w:b/>
      <w:bCs/>
      <w:caps/>
      <w:sz w:val="24"/>
      <w:szCs w:val="24"/>
      <w:lang w:eastAsia="lt-LT"/>
    </w:rPr>
  </w:style>
  <w:style w:type="character" w:customStyle="1" w:styleId="PavadinimasDiagrama">
    <w:name w:val="Pavadinimas Diagrama"/>
    <w:link w:val="Pavadinimas"/>
    <w:rsid w:val="003B5312"/>
    <w:rPr>
      <w:b/>
      <w:bCs/>
      <w:caps/>
      <w:sz w:val="24"/>
      <w:szCs w:val="24"/>
      <w:lang w:val="lt-LT" w:eastAsia="lt-LT" w:bidi="ar-SA"/>
    </w:rPr>
  </w:style>
  <w:style w:type="paragraph" w:styleId="Betarp">
    <w:name w:val="No Spacing"/>
    <w:qFormat/>
    <w:rsid w:val="003B531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targetScreenSz w:val="1920x12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11196</Words>
  <Characters>6382</Characters>
  <Application>Microsoft Office Word</Application>
  <DocSecurity>0</DocSecurity>
  <Lines>53</Lines>
  <Paragraphs>35</Paragraphs>
  <ScaleCrop>false</ScaleCrop>
  <Company/>
  <LinksUpToDate>false</LinksUpToDate>
  <CharactersWithSpaces>17543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2</cp:revision>
  <dcterms:created xsi:type="dcterms:W3CDTF">2016-05-16T16:05:00Z</dcterms:created>
  <dcterms:modified xsi:type="dcterms:W3CDTF">2016-05-16T16:05:00Z</dcterms:modified>
</cp:coreProperties>
</file>